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42 vom 2. August 2023</w:t>
      </w:r>
    </w:p>
    <w:p>
      <w:r>
        <w:t>GR Gerichte, 2023-08-02, DE</w:t>
      </w:r>
    </w:p>
    <w:p>
      <w:r>
        <w:rPr>
          <w:b/>
        </w:rPr>
        <w:t xml:space="preserve">Quelle: </w:t>
      </w:r>
      <w:r>
        <w:t>https://mcp.opencaselaw.ch/entscheid/gr_gerichte_SK2 2023 42</w:t>
      </w:r>
    </w:p>
    <w:p>
      <w:r>
        <w:t>FR: GR_GERICHTE SK2 2023 42 du 2 août 2023</w:t>
      </w:r>
    </w:p>
    <w:p>
      <w:r>
        <w:t>IT: GR_GERICHTE SK2 2023 42 del 2 agosto 2023</w:t>
      </w:r>
    </w:p>
    <w:p>
      <w:pPr>
        <w:pStyle w:val="Heading2"/>
      </w:pPr>
      <w:r>
        <w:t>Regeste</w:t>
      </w:r>
    </w:p>
    <w:p>
      <w:r>
        <w:t>Fahren in fahrunfähigem Zustand | Beschwerde gegen Polizei</w:t>
      </w:r>
    </w:p>
    <w:p>
      <w:pPr>
        <w:pStyle w:val="Heading2"/>
      </w:pPr>
      <w:r>
        <w:t>Erwägungen</w:t>
      </w:r>
    </w:p>
    <w:p>
      <w:r>
        <w:rPr>
          <w:b/>
        </w:rPr>
        <w:t>E. 3</w:t>
      </w:r>
    </w:p>
    <w:p>
      <w:r>
        <w:t>/ 8 Staatsanwaltschaft angeordnete Blutentnahme gestützt auf Art. 251 StPO. Wie gesehen handelt es sich beim einen wie beim anderen um ein beschwerdefähiges Anfechtungsobjekt. Ein Unterschied ergibt sich jedoch mit Blick auf die Fristwah- rung: Während bei einer nicht schriftlich eröffneten Verfahrenshandlung die Rechtsmittelfrist mit deren Kenntnisnahme beginnt (vgl. Art. 384 lit. c StPO), ist bei einer Blut- und Urinprobe gestützt auf Art. 251 StPO, die – wie vorliegend (vgl. act. E.5 und E.7) – zunächst mündlich angeordnet und nachträglich schriftlich begrün- det wurde (vgl. hierzu Art. 241 Abs. 1 Satz 2 StPO), erst die Eröffnung der schrift- lichen Verfügung fristauslösend (Keller, a.a.O., N 2 zu Art. 396 StPO). 1.3.1. Die Frist zur Einreichung einer Beschwerde gemäss Art. 393 ff. StPO be- trägt 10 Tage (Art. 396 Abs. 1 StPO). Fristen, die durch eine Mitteilung oder den Eintritt eines Ereignisses ausgelöst werden, beginnen am folgenden Tag zu laufen (Art. 90 Abs. 1 StPO). Die Frist ist eingehalten, wenn die Verfahrenshandlung spätestens am letzten Tag bei der zuständigen Behörde vorgenommen wird (Art. 91 Abs. 1 StPO). Eingaben müssen spätestens am letzten Tag der Frist bei der Strafbehörde abgegeben oder zu deren Handen der Schweizerischen Post über- geben werden (Art. 91 Abs. 2 StPO). 1.3.2. Die Beschwerde trägt den Poststempel vom 19. Juni 2023 (vgl. act. A.1). Mit Bezug auf die Polizeikontrolle als solche bzw. auf die (nicht von der staatsan- waltschaftlichen Anordnung umfassten) Modalitäten der Blutentnahme ist festzu- halten, dass die zehntätige Beschwerdefrist, die vorliegend durch den Eintritt eines Ereignisses in Form der Polizeikontrolle vom 6. Juni 2023 ausgelöst wurde, am folgenden Tag, somit am 7. Juni 2023, zu laufen begann und am 16. Juni 2023 endete. Um die Frist zu wahren, hätte die Eingabe des Beschwerdeführers daher spätestens am 16. Juni 2023 zu Handen der Strafbehörde der Schweizerischen Post übergeben werden müssen. Der Poststempel datiert indes vom 19. Juni 2023, sodass sich die Beschwerde in dieser Hinsicht grundsätzlich als verspätet erweist. Der Beschwerdeführer macht im Übrigen auch keine Gründe im Sinne von Art. 94 StPO geltend, die es ihm verunmöglicht hätten, rechtzeitig Beschwer- de zu erheben. Ob sich angesichts des Umstandes, dass der Beschwerdeführer anlässlich der Polizeikontrolle nicht auf die Möglichkeit zur Beschwerdeerhebung hingewiesen wurde (etwas anderes ist jedenfalls nicht aktenkundig), ein Nichtein- treten auf das Rechtsmittel rechtfertigt, kann offengelassen werden, da die Be- schwerde, selbst wenn darauf eingetreten werden könnte, abzuweisen wäre. 1.3.3. Sofern der Beschwerdeführer die Blutentnahme als solche anficht, wehrt er sich gegen eine Anordnung der Staatsanwaltschaft. Diese Anordnung erfolgte am</w:t>
      </w:r>
    </w:p>
    <w:p>
      <w:r>
        <w:rPr>
          <w:b/>
        </w:rPr>
        <w:t>E. 6</w:t>
      </w:r>
    </w:p>
    <w:p>
      <w:r>
        <w:t>/ 8 braucht hier jedoch nicht weiter erörtert zu werden; vgl. hierzu etwa die Hinweise in KGer GR SK2 21 49 v. 8.2.2022 E. 4.3.3). Allein der Umstand, dass der Be- schwerdeführer mit der Blut- und Urinentnahme nicht einverstanden war, lässt diese daher nicht als unrechtmässig erscheinen. Abgesehen vom fehlenden Ein- verständnis trägt der Beschwerdeführer nichts vor, weshalb die Blut- und Urinent- nahme nicht rechtmässig gewesen sein sollte. Entsprechendes ist denn auch nicht ersichtlich, ergibt sich doch aus den Akten und blieb vom Beschwerdeführer unbe- stritten, dass er bei der Polizeikontrolle "Ausfall- und Auffallerscheinungen" zeigte und angab, er habe vorgängig Marihuana konsumiert (vgl. act. E.2, E.3, und E.7). 2.4. Der Beschwerdeführer kritisiert im Weiteren die Modalitäten der Blutent- nahme mittels Spritze. Allein seine Aussage, dass er keine Nadeln in seinem Kör- per haben wolle, reicht nicht aus, um die Verwendung einer Spritze als unrecht- mässig erscheinen zu lassen. Im Übrigen legt der Beschwerdeführer nicht näher dar, warum er "grosse Probleme mit Nadeln" habe, sodass er diesbezüglich seiner Begründungspflicht nicht nachkommt. Unter diesen Umständen muss seine Rüge als Vorwand abgetan werden. Schliesslich ändert sich an der Zulässigkeit der Blutentnahme mittels Spritze auch dadurch nichts, dass der Beschwerdeführer – gemäss seinen eigenen Angaben – die Einstichstelle nach rund einer Woche im- mer noch gespürt habe. Solche "Beschwerden" sind bei der Blutentnahme mittels Spritzen nicht ungewöhnlich, dies umso weniger dann, wenn das Vorgehen – wie vorliegend – gegen den Willen des Betroffenen erfolgt ist. 2.5. Der Beschwerdeführer macht schliesslich geltend, es seien ihm diverse Gegenstände abgenommen worden. Um welche Gegenstände es sich dabei han- delt, gibt er nur teilweise an; namentlich genannt werden (lediglich) der "Delegier- ten Pass vom E._____" und der Fahrzeugschlüssel. Diesbezüglich ist festzuhal- ten, dass gegen die vorläufige Sicherstellung die Beschwerde grundsätzlich aus- geschlossen ist (vgl. KGer GR SK2 17 52 v. 11.06.2018 E. 1.2.5 m.w.H.). Da die Staatsanwaltschaft nach derzeitigem Aktenstand noch keine Beschlagnahme der vom Beschwerdeführer erwähnten Gegenstände angeordnet hat, erübrigen sich weitere Ausführungen hierzu. 2.6. Die Beschwerde ist nach dem Gesagten abzuweisen, soweit darauf über- haupt eingetreten werden kann. Die vom Beschwerdeführer geforderte Entschul- digung (vgl. act. A.1, S. 2) entbehrt daher von vornherein jeglicher Grundlage. 3. Die vorliegende Entscheidung ergeht gestützt auf Art. 18 Abs. 3 GOG in einzelrichterlicher Kompetenz.</w:t>
      </w:r>
    </w:p>
    <w:p>
      <w:r>
        <w:rPr>
          <w:b/>
        </w:rPr>
        <w:t>E. 7</w:t>
      </w:r>
    </w:p>
    <w:p>
      <w:r>
        <w:t>/ 8 4.1. Die Kosten des Beschwerdeverfahrens, welche in Anwendung von Art. 8 und 10 VGS (BR 350.210) auf CHF 500.00 festgesetzt werden, gehen zu Lasten des Beschwerdeführers (Art. 428 Abs. 1 StPO). 4.2. Mangels Einholen von Stellungnahmen sind keine Entschädigungen zu sprechen.</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